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A3" w:rsidRPr="00AF1BA3" w:rsidRDefault="00AF1BA3" w:rsidP="00AF1BA3">
      <w:pPr>
        <w:spacing w:before="161" w:after="161" w:line="240" w:lineRule="auto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Методические рекомендации MP 2.4.0179-20 "Рекомендации по организации питания обучающихся общеобразовательных организаций" (утв. Федеральной службой по надзору в сфере защиты прав потребителей и благополучия человека 18 мая 2020 г.)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text"/>
      <w:bookmarkEnd w:id="0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2.4. Гигиена детей и подростков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Методические рекомендации MP 2.4.0179-20</w:t>
      </w: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"Рекомендации по организации питания обучающихся общеобразовательных организаций"</w:t>
      </w: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Введены впервые</w:t>
      </w:r>
      <w:proofErr w:type="gramEnd"/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 Общие положения и область применения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1.1. Настоящие методические рекомендации (далее - MP)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1.3. MP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II.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Организация питания обучающихся в общеобразовательных организациях</w:t>
      </w:r>
      <w:proofErr w:type="gramEnd"/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 Завтрак должен состоять из горячего блюда и напитка, рекомендуется добавлять ягоды, фрукты и овощи.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</w:t>
      </w: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2.4.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Обучающиеся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во вторую смену обеспечиваются обедом. Не допускается замена обеда завтраком.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обеспечения биологической ценности в питании детей рекомендуется использовать: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продукты повышенной пищевой ценности, в т.ч. обогащенные продукты (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макро-микронутриентами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витаминами, пищевыми волокнами и биологически активными веществами);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пищевые продукты с ограниченным содержанием жира, сахара и соли.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 вносимой в блюдо соли на каждый прием пищи не рекомендуется превышать 1 грамм на человек.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меню не допускается включать повторно одни и те же блюда в течение одного дня и двух последующих дней.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составлении меню (завтраков, обедов, полдников, ужинов) рекомендуется использовать среднесуточные наборы продуктов (</w:t>
      </w:r>
      <w:hyperlink r:id="rId5" w:anchor="block_1000" w:history="1">
        <w:r w:rsidRPr="00AF1BA3">
          <w:rPr>
            <w:rFonts w:ascii="Arial" w:eastAsia="Times New Roman" w:hAnsi="Arial" w:cs="Arial"/>
            <w:b/>
            <w:bCs/>
            <w:color w:val="3272C0"/>
            <w:sz w:val="20"/>
            <w:lang w:eastAsia="ru-RU"/>
          </w:rPr>
          <w:t>приложение 1</w:t>
        </w:r>
      </w:hyperlink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настоящим MP).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r:id="rId6" w:anchor="block_2000" w:history="1">
        <w:r w:rsidRPr="00AF1BA3">
          <w:rPr>
            <w:rFonts w:ascii="Arial" w:eastAsia="Times New Roman" w:hAnsi="Arial" w:cs="Arial"/>
            <w:b/>
            <w:bCs/>
            <w:color w:val="3272C0"/>
            <w:sz w:val="20"/>
            <w:lang w:eastAsia="ru-RU"/>
          </w:rPr>
          <w:t>приложение 2</w:t>
        </w:r>
      </w:hyperlink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настоящим MP).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рационе питания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основных пищевых веществ.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r:id="rId7" w:anchor="block_3000" w:history="1">
        <w:r w:rsidRPr="00AF1BA3">
          <w:rPr>
            <w:rFonts w:ascii="Arial" w:eastAsia="Times New Roman" w:hAnsi="Arial" w:cs="Arial"/>
            <w:b/>
            <w:bCs/>
            <w:color w:val="3272C0"/>
            <w:sz w:val="20"/>
            <w:lang w:eastAsia="ru-RU"/>
          </w:rPr>
          <w:t>приложение 3</w:t>
        </w:r>
      </w:hyperlink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настоящим MP).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2.6. Разрабатываемое для обучающихся 1-4 классов меню должно отвечать следующим рекомендациям: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2.6.1. 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2.6.2. Для общеобразовательных организаций, расположенных в Арктической зоне, необходимо повышать суточную калорийность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пищевого рациона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 10%.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2.6.3.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Суточный режим питания по отдельным приемам пищи и в зависимости от сменности занятий обучающихся представлен в </w:t>
      </w:r>
      <w:hyperlink r:id="rId8" w:anchor="block_1" w:history="1">
        <w:r w:rsidRPr="00AF1BA3">
          <w:rPr>
            <w:rFonts w:ascii="Arial" w:eastAsia="Times New Roman" w:hAnsi="Arial" w:cs="Arial"/>
            <w:b/>
            <w:bCs/>
            <w:color w:val="3272C0"/>
            <w:sz w:val="20"/>
            <w:lang w:eastAsia="ru-RU"/>
          </w:rPr>
          <w:t>таблице 1</w:t>
        </w:r>
      </w:hyperlink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На домашние завтраки обучающихся в первую смену от суточного потребления в среднем может приходиться до 10% энергетической ценности.</w:t>
      </w:r>
      <w:proofErr w:type="gramEnd"/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Таблица 1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Режим питания по приемам пищи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507"/>
        <w:gridCol w:w="1808"/>
        <w:gridCol w:w="1838"/>
        <w:gridCol w:w="1522"/>
        <w:gridCol w:w="1657"/>
        <w:gridCol w:w="1853"/>
      </w:tblGrid>
      <w:tr w:rsidR="00AF1BA3" w:rsidRPr="00AF1BA3" w:rsidTr="00AF1BA3">
        <w:tc>
          <w:tcPr>
            <w:tcW w:w="5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смена</w:t>
            </w:r>
          </w:p>
        </w:tc>
        <w:tc>
          <w:tcPr>
            <w:tcW w:w="50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</w:tr>
      <w:tr w:rsidR="00AF1BA3" w:rsidRPr="00AF1BA3" w:rsidTr="00AF1BA3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суточной калорийности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суточной калорийности</w:t>
            </w:r>
          </w:p>
        </w:tc>
      </w:tr>
      <w:tr w:rsidR="00AF1BA3" w:rsidRPr="00AF1BA3" w:rsidTr="00AF1BA3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9.30 - 11.00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7.30 - 8.30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AF1BA3" w:rsidRPr="00AF1BA3" w:rsidTr="00AF1BA3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AF1BA3" w:rsidRPr="00AF1BA3" w:rsidTr="00AF1BA3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AF1BA3" w:rsidRPr="00AF1BA3" w:rsidTr="00AF1BA3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18.30 - 19.30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18.30 - 19.30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</w:tbl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 </w:t>
      </w:r>
      <w:hyperlink r:id="rId9" w:anchor="block_2" w:history="1">
        <w:r w:rsidRPr="00AF1BA3">
          <w:rPr>
            <w:rFonts w:ascii="Arial" w:eastAsia="Times New Roman" w:hAnsi="Arial" w:cs="Arial"/>
            <w:b/>
            <w:bCs/>
            <w:color w:val="3272C0"/>
            <w:sz w:val="20"/>
            <w:lang w:eastAsia="ru-RU"/>
          </w:rPr>
          <w:t>таблице 2</w:t>
        </w:r>
      </w:hyperlink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Таблица 2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Рекомендуемая масса порций блюд для обучающихся различного возраста</w:t>
      </w:r>
      <w:proofErr w:type="gramEnd"/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6277"/>
        <w:gridCol w:w="1660"/>
        <w:gridCol w:w="2248"/>
      </w:tblGrid>
      <w:tr w:rsidR="00AF1BA3" w:rsidRPr="00AF1BA3" w:rsidTr="00AF1BA3">
        <w:tc>
          <w:tcPr>
            <w:tcW w:w="6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блюд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порций (в граммах, мл) для обучающихся двух возрастных групп</w:t>
            </w:r>
          </w:p>
        </w:tc>
      </w:tr>
      <w:tr w:rsidR="00AF1BA3" w:rsidRPr="00AF1BA3" w:rsidTr="00AF1B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до 11 лет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лет и старше</w:t>
            </w:r>
          </w:p>
        </w:tc>
      </w:tr>
      <w:tr w:rsidR="00AF1BA3" w:rsidRPr="00AF1BA3" w:rsidTr="00AF1BA3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</w:tr>
      <w:tr w:rsidR="00AF1BA3" w:rsidRPr="00AF1BA3" w:rsidTr="00AF1BA3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(чай, какао, сок, компот, молоко, кефир и др.)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F1BA3" w:rsidRPr="00AF1BA3" w:rsidTr="00AF1BA3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Закуски (салат, овощи в нарезке и т.п.)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60-150</w:t>
            </w:r>
          </w:p>
        </w:tc>
      </w:tr>
      <w:tr w:rsidR="00AF1BA3" w:rsidRPr="00AF1BA3" w:rsidTr="00AF1BA3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250-300</w:t>
            </w:r>
          </w:p>
        </w:tc>
      </w:tr>
      <w:tr w:rsidR="00AF1BA3" w:rsidRPr="00AF1BA3" w:rsidTr="00AF1BA3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котлета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80-120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</w:tr>
      <w:tr w:rsidR="00AF1BA3" w:rsidRPr="00AF1BA3" w:rsidTr="00AF1BA3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180-230</w:t>
            </w:r>
          </w:p>
        </w:tc>
      </w:tr>
      <w:tr w:rsidR="00AF1BA3" w:rsidRPr="00AF1BA3" w:rsidTr="00AF1BA3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(поштучно)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BA3" w:rsidRPr="00AF1BA3" w:rsidRDefault="00AF1BA3" w:rsidP="00AF1B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</w:tr>
    </w:tbl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 Объемно-планировочные решения и размещение организаций общественного питания в общеобразовательных организациях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3.1. Организациями общественного питания общеобразовательных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организаций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для обслуживания обучающихся могут быть: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ии и ее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реализацию;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столовые-доготовочные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порционирование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выдача блюд;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буфеты-раздаточные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осуществляющие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3.2.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Рекомендуемый набор помещений приведен в </w:t>
      </w:r>
      <w:hyperlink r:id="rId10" w:anchor="block_4000" w:history="1">
        <w:r w:rsidRPr="00AF1BA3">
          <w:rPr>
            <w:rFonts w:ascii="Arial" w:eastAsia="Times New Roman" w:hAnsi="Arial" w:cs="Arial"/>
            <w:b/>
            <w:bCs/>
            <w:color w:val="3272C0"/>
            <w:sz w:val="20"/>
            <w:lang w:eastAsia="ru-RU"/>
          </w:rPr>
          <w:t>приложении 4</w:t>
        </w:r>
      </w:hyperlink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настоящим MP.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При оснащении пищеблоков </w:t>
      </w: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необходимым технологическим оборудованием и кухонной посудой (кастрюли с крышками, противни с крышками, 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гастроемкости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  <w:proofErr w:type="gramEnd"/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Примерный расчет технологического оборудования и кухонной посуды для пищеблоков: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Например, при организации обедов для обучающихся в количестве 400 человек необходимо приготовить не менее 100 литров 1-го блюда (400х250 мл) и 80 литров третьего (400х200 мл), следовательно, для первых блюд необходимо иметь не менее 2 кастрюль объемом по 50 л, для третьих - 2 кастрюли объемом по 40 л;</w:t>
      </w:r>
      <w:proofErr w:type="gramEnd"/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электрокотла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(объемом не менее 100 л) возможно использование одной электроплиты на 6 конфорок.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Объем (выход) готовых гарниров составляет не менее 150 гр., следовательно, для гарниров необходимо наличие не менее 2 кастрюль объемом по 40 л (400х150 гр.).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х 80 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пароконвекционными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автоматами (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пароконвектоматы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), в которых возможно одномоментное приготовление основных блюд на всех обучающихся (400-450 чел.). 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Пароконвектоматы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обеспечивают 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гастроемкостями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установленных техническим паспортом объемов и конфигураций. Количество 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пароконвектоматов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рассчитывается, исходя из производственной мощности и количества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обучающихся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припускание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электросковороды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 (400 чел. х 75 мл).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ручкой, позволяющей при приготовлении и раздаче перемешивать весь объем блюда в кастрюле, с мерной меткой установленных объемов (200, 250 мл и т.д.).</w:t>
      </w:r>
      <w:proofErr w:type="gramEnd"/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случае выхода из строя какого-либо технологического оборудования необходимо внести изменения в меню.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3.6.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При доставке готовых блюд и холодных закусок в 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буфеты-раздаточные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  <w:proofErr w:type="gramEnd"/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3.7. В </w:t>
      </w:r>
      <w:proofErr w:type="spellStart"/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буфетах-раздаточных</w:t>
      </w:r>
      <w:proofErr w:type="spellEnd"/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Буфеты-раздаточные</w:t>
      </w:r>
      <w:proofErr w:type="spellEnd"/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оборудуются минимальным набором помещений и оборудования: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не менее 2-х моечных ванн (или одной 2-секционной) с обеспечением горячей и холодной воды к ним через смесители с душевыми насадками;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раковина для мытья рук;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два цельнометаллических производственных стола: один - для 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термоконтейнеров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второй - для нарезки (хлеба, овощей, сыра, масла и т.п.);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холодильник (холодильный шкаф);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- стеллаж (шкаф) для хранения чистых: кухонного разделочного инвентаря, ножей, досок, столовой посуды и приборов.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3.8. 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Порционирование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IV. Обеспечение контроля качества и организации питания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обучающихся</w:t>
      </w:r>
      <w:proofErr w:type="gramEnd"/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обучающихся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проведение производственного контроля, основанного на принципах ХАССП;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r:id="rId11" w:anchor="block_5000" w:history="1">
        <w:r w:rsidRPr="00AF1BA3">
          <w:rPr>
            <w:rFonts w:ascii="Arial" w:eastAsia="Times New Roman" w:hAnsi="Arial" w:cs="Arial"/>
            <w:b/>
            <w:bCs/>
            <w:color w:val="3272C0"/>
            <w:sz w:val="20"/>
            <w:lang w:eastAsia="ru-RU"/>
          </w:rPr>
          <w:t>приложение 5</w:t>
        </w:r>
      </w:hyperlink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настоящим MP).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обучающимся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r:id="rId12" w:anchor="block_6000" w:history="1">
        <w:r w:rsidRPr="00AF1BA3">
          <w:rPr>
            <w:rFonts w:ascii="Arial" w:eastAsia="Times New Roman" w:hAnsi="Arial" w:cs="Arial"/>
            <w:b/>
            <w:bCs/>
            <w:color w:val="3272C0"/>
            <w:sz w:val="20"/>
            <w:lang w:eastAsia="ru-RU"/>
          </w:rPr>
          <w:t>приложение 6</w:t>
        </w:r>
      </w:hyperlink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настоящим MP). Данные характеристики учитываются и при определении прямых поставок продукции (без конкурсных процедур).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4.8.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гр., мандарин - 60-70 гр.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V. Организация мониторинга горячего питания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5.1.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5.2. Показателями мониторинга горячего питания являются: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количество обучающихся всего, в т.ч. 1-4 классов, 5-11 классов;</w:t>
      </w:r>
      <w:proofErr w:type="gramEnd"/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количество обучающихся в первую смену всего, в т.ч. 1-4 классов, 5-11 классов;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количество обучающихся во вторую смену всего, в т.ч. 1-4 классов, 5-11 классов;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доготовочные</w:t>
      </w:r>
      <w:proofErr w:type="spell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), </w:t>
      </w:r>
      <w:proofErr w:type="spellStart"/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буфеты-раздаточные</w:t>
      </w:r>
      <w:proofErr w:type="spellEnd"/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количество посадочных мест в обеденном зале;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соответствие меню положениям настоящих рекомендаций;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наличие родительского (общественного </w:t>
      </w:r>
      <w:proofErr w:type="gramStart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контроля) за</w:t>
      </w:r>
      <w:proofErr w:type="gramEnd"/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организацией питания детей;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объем и вид пищевых отходов после приема пищи;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информация по выполнению контрактных обязательств о качестве и безопасности поставляемых пищевых продуктов.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удовлетворенность питанием обучающихся и родителей.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5.3. С целью автоматизации процедур сбора и оценки показателей используются программные средства.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F1BA3" w:rsidRPr="00AF1BA3" w:rsidRDefault="00AF1BA3" w:rsidP="00AF1BA3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AF1BA3" w:rsidRPr="00AF1BA3" w:rsidTr="00AF1BA3">
        <w:tc>
          <w:tcPr>
            <w:tcW w:w="3300" w:type="pct"/>
            <w:vAlign w:val="bottom"/>
            <w:hideMark/>
          </w:tcPr>
          <w:p w:rsidR="00AF1BA3" w:rsidRPr="00AF1BA3" w:rsidRDefault="00AF1BA3" w:rsidP="00AF1B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</w:t>
            </w: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надзору в сфере защиты прав</w:t>
            </w: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F1BA3" w:rsidRPr="00AF1BA3" w:rsidRDefault="00AF1BA3" w:rsidP="00AF1B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A43166" w:rsidRDefault="00AF1BA3"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AF1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sectPr w:rsidR="00A43166" w:rsidSect="00A4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3100"/>
    <w:multiLevelType w:val="multilevel"/>
    <w:tmpl w:val="FB50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1BA3"/>
    <w:rsid w:val="00001805"/>
    <w:rsid w:val="006F4934"/>
    <w:rsid w:val="00760D3A"/>
    <w:rsid w:val="00A43166"/>
    <w:rsid w:val="00AF1BA3"/>
    <w:rsid w:val="00C0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66"/>
  </w:style>
  <w:style w:type="paragraph" w:styleId="1">
    <w:name w:val="heading 1"/>
    <w:basedOn w:val="a"/>
    <w:link w:val="10"/>
    <w:uiPriority w:val="9"/>
    <w:qFormat/>
    <w:rsid w:val="00AF1BA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F1B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1BA3"/>
    <w:rPr>
      <w:color w:val="0000FF"/>
      <w:u w:val="single"/>
    </w:rPr>
  </w:style>
  <w:style w:type="paragraph" w:customStyle="1" w:styleId="s3">
    <w:name w:val="s_3"/>
    <w:basedOn w:val="a"/>
    <w:rsid w:val="00AF1B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1B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1BA3"/>
  </w:style>
  <w:style w:type="paragraph" w:customStyle="1" w:styleId="s16">
    <w:name w:val="s_16"/>
    <w:basedOn w:val="a"/>
    <w:rsid w:val="00AF1B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238456/7b043d7bde99aa0f9005b52966c632f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4238456/3e22e51c74db8e0b182fad67b502e640/" TargetMode="External"/><Relationship Id="rId12" Type="http://schemas.openxmlformats.org/officeDocument/2006/relationships/hyperlink" Target="http://base.garant.ru/74238456/7dede6ac8f25be619ed07c17ed1c62c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238456/f7ee959fd36b5699076b35abf4f52c5c/" TargetMode="External"/><Relationship Id="rId11" Type="http://schemas.openxmlformats.org/officeDocument/2006/relationships/hyperlink" Target="http://base.garant.ru/74238456/c9c989f1e999992b41b30686f0032f7d/" TargetMode="External"/><Relationship Id="rId5" Type="http://schemas.openxmlformats.org/officeDocument/2006/relationships/hyperlink" Target="http://base.garant.ru/74238456/53f89421bbdaf741eb2d1ecc4ddb4c33/" TargetMode="External"/><Relationship Id="rId10" Type="http://schemas.openxmlformats.org/officeDocument/2006/relationships/hyperlink" Target="http://base.garant.ru/74238456/172a6d689833ce3e42dc0a8a7b3cddf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238456/7b043d7bde99aa0f9005b52966c632f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2943</Words>
  <Characters>16778</Characters>
  <Application>Microsoft Office Word</Application>
  <DocSecurity>0</DocSecurity>
  <Lines>139</Lines>
  <Paragraphs>39</Paragraphs>
  <ScaleCrop>false</ScaleCrop>
  <Company/>
  <LinksUpToDate>false</LinksUpToDate>
  <CharactersWithSpaces>19682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2020-07-24T00:10:00Z</dcterms:created>
  <dcterms:modified xsi:type="dcterms:W3CDTF">2020-07-24T00:10:00Z</dcterms:modified>
</cp:coreProperties>
</file>